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F00" w:rsidRDefault="00FC790D" w:rsidP="00FC790D">
      <w:pPr>
        <w:spacing w:line="240" w:lineRule="auto"/>
        <w:ind w:firstLine="0"/>
        <w:jc w:val="center"/>
      </w:pPr>
      <w:r>
        <w:t xml:space="preserve">СПОСОБ ПРОГНОЗИРОВАНИЯ ПРОДОЛЖИТЕЛЬНОСТИ </w:t>
      </w:r>
    </w:p>
    <w:p w:rsidR="00745C62" w:rsidRDefault="00FC790D" w:rsidP="00FC790D">
      <w:pPr>
        <w:spacing w:line="240" w:lineRule="auto"/>
        <w:ind w:firstLine="0"/>
        <w:jc w:val="center"/>
      </w:pPr>
      <w:r>
        <w:t>ЕСТЕСТВЕННОЙ СУШКИ ТАБАКА</w:t>
      </w:r>
    </w:p>
    <w:p w:rsidR="00FC790D" w:rsidRDefault="00FC790D" w:rsidP="00FC790D">
      <w:pPr>
        <w:spacing w:line="240" w:lineRule="auto"/>
        <w:ind w:firstLine="0"/>
        <w:jc w:val="center"/>
      </w:pPr>
    </w:p>
    <w:p w:rsidR="00FC790D" w:rsidRDefault="00FC790D" w:rsidP="00FC790D">
      <w:pPr>
        <w:spacing w:line="240" w:lineRule="auto"/>
        <w:ind w:firstLine="0"/>
        <w:jc w:val="center"/>
      </w:pPr>
      <w:proofErr w:type="spellStart"/>
      <w:r>
        <w:t>Петрий</w:t>
      </w:r>
      <w:proofErr w:type="spellEnd"/>
      <w:r>
        <w:t xml:space="preserve"> А.И., Пестова Л.П., канд. </w:t>
      </w:r>
      <w:proofErr w:type="spellStart"/>
      <w:r>
        <w:t>техн</w:t>
      </w:r>
      <w:proofErr w:type="spellEnd"/>
      <w:r>
        <w:t xml:space="preserve">. наук, </w:t>
      </w:r>
      <w:proofErr w:type="spellStart"/>
      <w:r>
        <w:t>Павлюк</w:t>
      </w:r>
      <w:proofErr w:type="spellEnd"/>
      <w:r>
        <w:t xml:space="preserve"> И.В., </w:t>
      </w:r>
    </w:p>
    <w:p w:rsidR="00FC790D" w:rsidRDefault="00FC790D" w:rsidP="00FC790D">
      <w:pPr>
        <w:spacing w:line="240" w:lineRule="auto"/>
        <w:ind w:firstLine="0"/>
        <w:jc w:val="center"/>
      </w:pPr>
      <w:r>
        <w:t>Шураева Г.П., канд.</w:t>
      </w:r>
      <w:r w:rsidR="0069186D">
        <w:t xml:space="preserve"> </w:t>
      </w:r>
      <w:r>
        <w:t>с.-х. наук</w:t>
      </w:r>
    </w:p>
    <w:p w:rsidR="00FC790D" w:rsidRDefault="00FC790D" w:rsidP="00FC790D">
      <w:pPr>
        <w:spacing w:line="240" w:lineRule="auto"/>
        <w:ind w:firstLine="0"/>
        <w:jc w:val="center"/>
      </w:pPr>
    </w:p>
    <w:p w:rsidR="00FC790D" w:rsidRDefault="00FC790D" w:rsidP="00FC790D">
      <w:pPr>
        <w:spacing w:line="240" w:lineRule="auto"/>
        <w:ind w:firstLine="0"/>
        <w:jc w:val="center"/>
      </w:pPr>
      <w:r>
        <w:t>ГНУ Всероссийский научно-исследовательский институт табака, махорки и табачных изделий Россельхозакадемии, г. Краснодар</w:t>
      </w:r>
    </w:p>
    <w:p w:rsidR="00FC790D" w:rsidRDefault="00FC790D" w:rsidP="00FC790D">
      <w:pPr>
        <w:spacing w:line="240" w:lineRule="auto"/>
        <w:ind w:firstLine="0"/>
        <w:jc w:val="center"/>
      </w:pPr>
    </w:p>
    <w:p w:rsidR="00FC790D" w:rsidRDefault="00FC790D" w:rsidP="00FC790D">
      <w:pPr>
        <w:spacing w:line="240" w:lineRule="auto"/>
        <w:jc w:val="both"/>
      </w:pPr>
      <w:r>
        <w:t>В последние годы во всем мире увеличивается производства табачного сырья, высушенного в естественных условиях, что объясняется возможн</w:t>
      </w:r>
      <w:r>
        <w:t>о</w:t>
      </w:r>
      <w:r>
        <w:t>стью получения сырь</w:t>
      </w:r>
      <w:r w:rsidR="0069186D">
        <w:t>я</w:t>
      </w:r>
      <w:r>
        <w:t xml:space="preserve"> с минимальным расходом тепловой и электрической энергии</w:t>
      </w:r>
      <w:r w:rsidR="006D0984">
        <w:t>.</w:t>
      </w:r>
      <w:r>
        <w:t xml:space="preserve"> Однако при использовании этого способа сушки имеется целый ряд ограничен</w:t>
      </w:r>
      <w:r w:rsidR="006D0984">
        <w:t>ий, таких</w:t>
      </w:r>
      <w:r>
        <w:t xml:space="preserve"> как биологические особенности сорта, почвенно-климатические условия, </w:t>
      </w:r>
      <w:r w:rsidR="006D0984">
        <w:t>технологии выращивания, уборки и подготовки к сушке, которые не только определяют качество получаемого сырья, но сущ</w:t>
      </w:r>
      <w:r w:rsidR="006D0984">
        <w:t>е</w:t>
      </w:r>
      <w:r w:rsidR="006D0984">
        <w:t xml:space="preserve">ственно влияют на продолжительность процессов сушки табака </w:t>
      </w:r>
      <w:r w:rsidR="006D0984" w:rsidRPr="00FC790D">
        <w:t>[</w:t>
      </w:r>
      <w:r w:rsidR="006D0984">
        <w:t>1, 2</w:t>
      </w:r>
      <w:r w:rsidR="006D0984" w:rsidRPr="00FC790D">
        <w:t>]</w:t>
      </w:r>
      <w:r w:rsidR="006D0984">
        <w:t>.</w:t>
      </w:r>
    </w:p>
    <w:p w:rsidR="007A72F8" w:rsidRDefault="006F37DC" w:rsidP="00FC790D">
      <w:pPr>
        <w:spacing w:line="240" w:lineRule="auto"/>
        <w:jc w:val="both"/>
      </w:pPr>
      <w:r>
        <w:t>Ранее проведенными исследованиями установлено, что продолжител</w:t>
      </w:r>
      <w:r>
        <w:t>ь</w:t>
      </w:r>
      <w:r>
        <w:t>ность процесса сушки во многом зависит от степени согласованности пр</w:t>
      </w:r>
      <w:r>
        <w:t>о</w:t>
      </w:r>
      <w:r>
        <w:t xml:space="preserve">цессов томления и влагоотдачи свежеубранными листьями при их томлении </w:t>
      </w:r>
      <w:r w:rsidRPr="007B476E">
        <w:t>[</w:t>
      </w:r>
      <w:r>
        <w:t>3</w:t>
      </w:r>
      <w:r w:rsidRPr="007B476E">
        <w:t>]</w:t>
      </w:r>
      <w:r>
        <w:t xml:space="preserve">. </w:t>
      </w:r>
      <w:r w:rsidR="007A72F8">
        <w:t>В дальнейшем было установлено, что практическое применение указа</w:t>
      </w:r>
      <w:r w:rsidR="007A72F8">
        <w:t>н</w:t>
      </w:r>
      <w:r w:rsidR="007A72F8">
        <w:t>ного показателя весьма ограничено из-за значительных колебаний показат</w:t>
      </w:r>
      <w:r w:rsidR="007A72F8">
        <w:t>е</w:t>
      </w:r>
      <w:r w:rsidR="007A72F8">
        <w:t>лей, характеризующих степени пожелтения и обезвоживания табака при его томлении.</w:t>
      </w:r>
    </w:p>
    <w:p w:rsidR="007A72F8" w:rsidRDefault="007A72F8" w:rsidP="00FC790D">
      <w:pPr>
        <w:spacing w:line="240" w:lineRule="auto"/>
        <w:jc w:val="both"/>
      </w:pPr>
      <w:r>
        <w:t>Определено, что после томления степень пожелтения листьев коле</w:t>
      </w:r>
      <w:r>
        <w:t>б</w:t>
      </w:r>
      <w:r>
        <w:t>лется от 40 до 90 %, а потери содержания воды – 30-50 %. Возможными пр</w:t>
      </w:r>
      <w:r>
        <w:t>и</w:t>
      </w:r>
      <w:r>
        <w:t xml:space="preserve">чинами этого факта является отсутствие надежных </w:t>
      </w:r>
      <w:proofErr w:type="gramStart"/>
      <w:r>
        <w:t>методов определения м</w:t>
      </w:r>
      <w:r>
        <w:t>о</w:t>
      </w:r>
      <w:r>
        <w:t>мента прекращения жизнедеятельности</w:t>
      </w:r>
      <w:proofErr w:type="gramEnd"/>
      <w:r>
        <w:t xml:space="preserve"> листьев, т.е. окончание процесса томления.</w:t>
      </w:r>
    </w:p>
    <w:p w:rsidR="007A72F8" w:rsidRDefault="00A61C58" w:rsidP="00FC790D">
      <w:pPr>
        <w:spacing w:line="240" w:lineRule="auto"/>
        <w:jc w:val="both"/>
      </w:pPr>
      <w:r>
        <w:t xml:space="preserve">Определение окончания процесса томления по способности листьев </w:t>
      </w:r>
      <w:r w:rsidR="007A72F8">
        <w:t xml:space="preserve">восстанавливать тургор </w:t>
      </w:r>
      <w:r>
        <w:t>или</w:t>
      </w:r>
      <w:r w:rsidR="007A72F8">
        <w:t xml:space="preserve"> </w:t>
      </w:r>
      <w:r>
        <w:t xml:space="preserve">по </w:t>
      </w:r>
      <w:r w:rsidR="007A72F8">
        <w:t>изменени</w:t>
      </w:r>
      <w:r>
        <w:t>ю</w:t>
      </w:r>
      <w:r w:rsidR="007A72F8">
        <w:t xml:space="preserve"> электропроводности клеточного сока позволил</w:t>
      </w:r>
      <w:r>
        <w:t>о</w:t>
      </w:r>
      <w:r w:rsidR="007A72F8">
        <w:t xml:space="preserve"> существенно снизить колебания </w:t>
      </w:r>
      <w:r>
        <w:t>значений показателей, х</w:t>
      </w:r>
      <w:r>
        <w:t>а</w:t>
      </w:r>
      <w:r>
        <w:t>рактер</w:t>
      </w:r>
      <w:r>
        <w:t>и</w:t>
      </w:r>
      <w:r>
        <w:t xml:space="preserve">зующих </w:t>
      </w:r>
      <w:r w:rsidR="007A72F8">
        <w:t>степен</w:t>
      </w:r>
      <w:r>
        <w:t>и</w:t>
      </w:r>
      <w:r w:rsidR="007A72F8">
        <w:t xml:space="preserve"> пожелтения и обезвож</w:t>
      </w:r>
      <w:r>
        <w:t>енности табака</w:t>
      </w:r>
      <w:r w:rsidR="007A72F8">
        <w:t>.</w:t>
      </w:r>
    </w:p>
    <w:p w:rsidR="00824F00" w:rsidRDefault="007A72F8" w:rsidP="00824F00">
      <w:pPr>
        <w:spacing w:line="240" w:lineRule="auto"/>
        <w:jc w:val="both"/>
      </w:pPr>
      <w:r>
        <w:t xml:space="preserve">Специально проведенными исследованиями показано, что </w:t>
      </w:r>
      <w:r w:rsidR="007C2828">
        <w:t>для опред</w:t>
      </w:r>
      <w:r w:rsidR="007C2828">
        <w:t>е</w:t>
      </w:r>
      <w:r w:rsidR="007C2828">
        <w:t xml:space="preserve">ления окончания процесса томления табака </w:t>
      </w:r>
      <w:r>
        <w:t xml:space="preserve">наиболее простым и надежным </w:t>
      </w:r>
      <w:r w:rsidR="007C2828">
        <w:t xml:space="preserve">является </w:t>
      </w:r>
      <w:r>
        <w:t>метод</w:t>
      </w:r>
      <w:r w:rsidR="007C2828">
        <w:t xml:space="preserve">, основанный на установлении момента изменения окраски и </w:t>
      </w:r>
      <w:proofErr w:type="spellStart"/>
      <w:r w:rsidR="007C2828">
        <w:t>подсыхания</w:t>
      </w:r>
      <w:proofErr w:type="spellEnd"/>
      <w:r w:rsidR="007C2828">
        <w:t xml:space="preserve"> верхушек и краев листьев.</w:t>
      </w:r>
      <w:r w:rsidR="00824F00">
        <w:t xml:space="preserve"> </w:t>
      </w:r>
    </w:p>
    <w:p w:rsidR="006F37DC" w:rsidRDefault="006F37DC" w:rsidP="006F37DC">
      <w:pPr>
        <w:spacing w:line="240" w:lineRule="auto"/>
        <w:jc w:val="both"/>
      </w:pPr>
      <w:r>
        <w:t xml:space="preserve">В таблице 1 представлены данные за 5 лет и свидетельствуют о том, что изменения окраски и частичного </w:t>
      </w:r>
      <w:proofErr w:type="spellStart"/>
      <w:r>
        <w:t>подсыхания</w:t>
      </w:r>
      <w:proofErr w:type="spellEnd"/>
      <w:r>
        <w:t xml:space="preserve"> верхушки и краев табачных листьев при их томлении в естественных условиях зависят, в основном, от биологических особенностей изучаемых сортов табака.</w:t>
      </w:r>
    </w:p>
    <w:p w:rsidR="006F37DC" w:rsidRDefault="006F37DC" w:rsidP="00824F00">
      <w:pPr>
        <w:spacing w:line="240" w:lineRule="auto"/>
        <w:jc w:val="both"/>
      </w:pPr>
    </w:p>
    <w:p w:rsidR="006F37DC" w:rsidRDefault="006F37DC" w:rsidP="00571A1B">
      <w:pPr>
        <w:spacing w:line="240" w:lineRule="auto"/>
        <w:jc w:val="right"/>
      </w:pPr>
    </w:p>
    <w:p w:rsidR="00A61C58" w:rsidRDefault="00A61C58" w:rsidP="00571A1B">
      <w:pPr>
        <w:spacing w:line="240" w:lineRule="auto"/>
        <w:jc w:val="right"/>
      </w:pPr>
    </w:p>
    <w:p w:rsidR="006F37DC" w:rsidRDefault="006F37DC" w:rsidP="00571A1B">
      <w:pPr>
        <w:spacing w:line="240" w:lineRule="auto"/>
        <w:jc w:val="right"/>
      </w:pPr>
    </w:p>
    <w:p w:rsidR="00571A1B" w:rsidRDefault="00571A1B" w:rsidP="00571A1B">
      <w:pPr>
        <w:spacing w:line="240" w:lineRule="auto"/>
        <w:jc w:val="right"/>
      </w:pPr>
      <w:r>
        <w:lastRenderedPageBreak/>
        <w:t>Таблица 1</w:t>
      </w:r>
    </w:p>
    <w:p w:rsidR="00BA1587" w:rsidRDefault="006177A7" w:rsidP="006177A7">
      <w:pPr>
        <w:spacing w:after="120" w:line="240" w:lineRule="auto"/>
        <w:jc w:val="center"/>
      </w:pPr>
      <w:r>
        <w:t>Внешние признаки окончания процесса томления табака</w:t>
      </w:r>
    </w:p>
    <w:tbl>
      <w:tblPr>
        <w:tblStyle w:val="a3"/>
        <w:tblW w:w="9747" w:type="dxa"/>
        <w:tblLayout w:type="fixed"/>
        <w:tblLook w:val="04A0"/>
      </w:tblPr>
      <w:tblGrid>
        <w:gridCol w:w="1668"/>
        <w:gridCol w:w="2126"/>
        <w:gridCol w:w="5953"/>
      </w:tblGrid>
      <w:tr w:rsidR="006177A7" w:rsidRPr="006F37DC" w:rsidTr="006F37DC">
        <w:tc>
          <w:tcPr>
            <w:tcW w:w="1668" w:type="dxa"/>
          </w:tcPr>
          <w:p w:rsidR="006177A7" w:rsidRPr="006F37DC" w:rsidRDefault="006177A7" w:rsidP="00824F00">
            <w:pPr>
              <w:spacing w:line="204" w:lineRule="auto"/>
              <w:ind w:firstLine="0"/>
              <w:jc w:val="center"/>
            </w:pPr>
            <w:r w:rsidRPr="006F37DC">
              <w:t xml:space="preserve">Тип </w:t>
            </w:r>
          </w:p>
          <w:p w:rsidR="006177A7" w:rsidRPr="006F37DC" w:rsidRDefault="006177A7" w:rsidP="00824F00">
            <w:pPr>
              <w:spacing w:line="204" w:lineRule="auto"/>
              <w:ind w:firstLine="0"/>
              <w:jc w:val="center"/>
            </w:pPr>
            <w:r w:rsidRPr="006F37DC">
              <w:t>пожелтения</w:t>
            </w:r>
          </w:p>
        </w:tc>
        <w:tc>
          <w:tcPr>
            <w:tcW w:w="2126" w:type="dxa"/>
          </w:tcPr>
          <w:p w:rsidR="006177A7" w:rsidRPr="006F37DC" w:rsidRDefault="006177A7" w:rsidP="00824F00">
            <w:pPr>
              <w:spacing w:line="204" w:lineRule="auto"/>
              <w:ind w:firstLine="0"/>
              <w:jc w:val="center"/>
            </w:pPr>
            <w:r w:rsidRPr="006F37DC">
              <w:t>Ботанический сорт</w:t>
            </w:r>
          </w:p>
        </w:tc>
        <w:tc>
          <w:tcPr>
            <w:tcW w:w="5953" w:type="dxa"/>
          </w:tcPr>
          <w:p w:rsidR="006F37DC" w:rsidRDefault="006177A7" w:rsidP="00824F00">
            <w:pPr>
              <w:spacing w:line="204" w:lineRule="auto"/>
              <w:ind w:firstLine="0"/>
              <w:jc w:val="center"/>
            </w:pPr>
            <w:r w:rsidRPr="006F37DC">
              <w:t xml:space="preserve">Внешние признаки начала прекращения </w:t>
            </w:r>
          </w:p>
          <w:p w:rsidR="006177A7" w:rsidRPr="006F37DC" w:rsidRDefault="006177A7" w:rsidP="00824F00">
            <w:pPr>
              <w:spacing w:line="204" w:lineRule="auto"/>
              <w:ind w:firstLine="0"/>
              <w:jc w:val="center"/>
            </w:pPr>
            <w:r w:rsidRPr="006F37DC">
              <w:t>жизнедеятельности листьев</w:t>
            </w:r>
          </w:p>
        </w:tc>
      </w:tr>
      <w:tr w:rsidR="006177A7" w:rsidRPr="006F37DC" w:rsidTr="006F37DC">
        <w:tc>
          <w:tcPr>
            <w:tcW w:w="1668" w:type="dxa"/>
          </w:tcPr>
          <w:p w:rsidR="006177A7" w:rsidRPr="006F37DC" w:rsidRDefault="006177A7" w:rsidP="006F37DC">
            <w:pPr>
              <w:spacing w:line="276" w:lineRule="auto"/>
              <w:ind w:firstLine="0"/>
              <w:jc w:val="center"/>
              <w:rPr>
                <w:lang w:val="en-US"/>
              </w:rPr>
            </w:pPr>
            <w:r w:rsidRPr="006F37DC"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6177A7" w:rsidRPr="006F37DC" w:rsidRDefault="006177A7" w:rsidP="006F37DC">
            <w:pPr>
              <w:spacing w:line="276" w:lineRule="auto"/>
              <w:ind w:firstLine="0"/>
              <w:jc w:val="center"/>
            </w:pPr>
            <w:proofErr w:type="spellStart"/>
            <w:r w:rsidRPr="006F37DC">
              <w:t>Трапезонд</w:t>
            </w:r>
            <w:proofErr w:type="spellEnd"/>
            <w:r w:rsidRPr="006F37DC">
              <w:t xml:space="preserve"> 219</w:t>
            </w:r>
          </w:p>
        </w:tc>
        <w:tc>
          <w:tcPr>
            <w:tcW w:w="5953" w:type="dxa"/>
          </w:tcPr>
          <w:p w:rsidR="006177A7" w:rsidRPr="006F37DC" w:rsidRDefault="006177A7" w:rsidP="006F37DC">
            <w:pPr>
              <w:spacing w:line="276" w:lineRule="auto"/>
              <w:ind w:firstLine="0"/>
            </w:pPr>
            <w:r w:rsidRPr="006F37DC">
              <w:t>Покоричневение верхушек и краев листьев</w:t>
            </w:r>
          </w:p>
        </w:tc>
      </w:tr>
      <w:tr w:rsidR="006177A7" w:rsidRPr="006F37DC" w:rsidTr="006F37DC">
        <w:tc>
          <w:tcPr>
            <w:tcW w:w="1668" w:type="dxa"/>
          </w:tcPr>
          <w:p w:rsidR="006177A7" w:rsidRPr="006F37DC" w:rsidRDefault="006177A7" w:rsidP="00824F00">
            <w:pPr>
              <w:spacing w:line="204" w:lineRule="auto"/>
              <w:ind w:firstLine="0"/>
              <w:jc w:val="center"/>
            </w:pPr>
            <w:r w:rsidRPr="006F37DC"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6177A7" w:rsidRPr="006F37DC" w:rsidRDefault="006177A7" w:rsidP="00824F00">
            <w:pPr>
              <w:spacing w:line="204" w:lineRule="auto"/>
              <w:ind w:firstLine="0"/>
              <w:jc w:val="center"/>
            </w:pPr>
            <w:proofErr w:type="spellStart"/>
            <w:r w:rsidRPr="006F37DC">
              <w:t>Трапезонд</w:t>
            </w:r>
            <w:proofErr w:type="spellEnd"/>
            <w:r w:rsidRPr="006F37DC">
              <w:t xml:space="preserve"> 92</w:t>
            </w:r>
          </w:p>
        </w:tc>
        <w:tc>
          <w:tcPr>
            <w:tcW w:w="5953" w:type="dxa"/>
          </w:tcPr>
          <w:p w:rsidR="006177A7" w:rsidRPr="006F37DC" w:rsidRDefault="006177A7" w:rsidP="00824F00">
            <w:pPr>
              <w:spacing w:line="204" w:lineRule="auto"/>
              <w:ind w:firstLine="0"/>
            </w:pPr>
            <w:proofErr w:type="spellStart"/>
            <w:r w:rsidRPr="006F37DC">
              <w:t>Подсыхание</w:t>
            </w:r>
            <w:proofErr w:type="spellEnd"/>
            <w:r w:rsidRPr="006F37DC">
              <w:t xml:space="preserve"> верхушек и краев листьев. Окр</w:t>
            </w:r>
            <w:r w:rsidRPr="006F37DC">
              <w:t>а</w:t>
            </w:r>
            <w:r w:rsidRPr="006F37DC">
              <w:t>ска подсыхающих частей листа с белесоватым оттенком</w:t>
            </w:r>
          </w:p>
        </w:tc>
      </w:tr>
      <w:tr w:rsidR="006177A7" w:rsidRPr="006F37DC" w:rsidTr="006F37DC">
        <w:tc>
          <w:tcPr>
            <w:tcW w:w="1668" w:type="dxa"/>
          </w:tcPr>
          <w:p w:rsidR="006177A7" w:rsidRPr="006F37DC" w:rsidRDefault="006177A7" w:rsidP="00824F00">
            <w:pPr>
              <w:spacing w:line="204" w:lineRule="auto"/>
              <w:ind w:firstLine="0"/>
              <w:jc w:val="center"/>
              <w:rPr>
                <w:lang w:val="en-US"/>
              </w:rPr>
            </w:pPr>
            <w:r w:rsidRPr="006F37DC">
              <w:rPr>
                <w:lang w:val="en-US"/>
              </w:rPr>
              <w:t>II</w:t>
            </w:r>
          </w:p>
        </w:tc>
        <w:tc>
          <w:tcPr>
            <w:tcW w:w="2126" w:type="dxa"/>
          </w:tcPr>
          <w:p w:rsidR="006177A7" w:rsidRPr="006F37DC" w:rsidRDefault="006177A7" w:rsidP="00824F00">
            <w:pPr>
              <w:spacing w:line="204" w:lineRule="auto"/>
              <w:ind w:firstLine="0"/>
              <w:jc w:val="center"/>
            </w:pPr>
            <w:r w:rsidRPr="006F37DC">
              <w:t>Остролист 215</w:t>
            </w:r>
          </w:p>
        </w:tc>
        <w:tc>
          <w:tcPr>
            <w:tcW w:w="5953" w:type="dxa"/>
          </w:tcPr>
          <w:p w:rsidR="006177A7" w:rsidRPr="006F37DC" w:rsidRDefault="006177A7" w:rsidP="00824F00">
            <w:pPr>
              <w:spacing w:line="204" w:lineRule="auto"/>
              <w:ind w:firstLine="0"/>
            </w:pPr>
            <w:r w:rsidRPr="006F37DC">
              <w:t>Легкое покоричневение верхушек и краев л</w:t>
            </w:r>
            <w:r w:rsidRPr="006F37DC">
              <w:t>и</w:t>
            </w:r>
            <w:r w:rsidRPr="006F37DC">
              <w:t xml:space="preserve">стьев с </w:t>
            </w:r>
            <w:proofErr w:type="gramStart"/>
            <w:r w:rsidRPr="006F37DC">
              <w:t>одновременным</w:t>
            </w:r>
            <w:proofErr w:type="gramEnd"/>
            <w:r w:rsidRPr="006F37DC">
              <w:t xml:space="preserve"> </w:t>
            </w:r>
            <w:proofErr w:type="spellStart"/>
            <w:r w:rsidRPr="006F37DC">
              <w:t>подсыханием</w:t>
            </w:r>
            <w:proofErr w:type="spellEnd"/>
            <w:r w:rsidRPr="006F37DC">
              <w:t xml:space="preserve"> </w:t>
            </w:r>
            <w:proofErr w:type="spellStart"/>
            <w:r w:rsidRPr="006F37DC">
              <w:t>покори</w:t>
            </w:r>
            <w:r w:rsidRPr="006F37DC">
              <w:t>ч</w:t>
            </w:r>
            <w:r w:rsidRPr="006F37DC">
              <w:t>невевших</w:t>
            </w:r>
            <w:proofErr w:type="spellEnd"/>
            <w:r w:rsidRPr="006F37DC">
              <w:t xml:space="preserve"> частей листьев</w:t>
            </w:r>
          </w:p>
        </w:tc>
      </w:tr>
      <w:tr w:rsidR="006177A7" w:rsidRPr="006F37DC" w:rsidTr="006F37DC">
        <w:tc>
          <w:tcPr>
            <w:tcW w:w="1668" w:type="dxa"/>
          </w:tcPr>
          <w:p w:rsidR="006177A7" w:rsidRPr="006F37DC" w:rsidRDefault="006177A7" w:rsidP="00824F00">
            <w:pPr>
              <w:spacing w:line="204" w:lineRule="auto"/>
              <w:ind w:firstLine="0"/>
              <w:jc w:val="center"/>
            </w:pPr>
            <w:r w:rsidRPr="006F37DC">
              <w:rPr>
                <w:lang w:val="en-US"/>
              </w:rPr>
              <w:t>IV</w:t>
            </w:r>
          </w:p>
        </w:tc>
        <w:tc>
          <w:tcPr>
            <w:tcW w:w="2126" w:type="dxa"/>
          </w:tcPr>
          <w:p w:rsidR="006177A7" w:rsidRPr="006F37DC" w:rsidRDefault="006177A7" w:rsidP="00824F00">
            <w:pPr>
              <w:spacing w:line="204" w:lineRule="auto"/>
              <w:ind w:firstLine="0"/>
              <w:jc w:val="center"/>
            </w:pPr>
            <w:r w:rsidRPr="006F37DC">
              <w:t>Юбилейный</w:t>
            </w:r>
          </w:p>
        </w:tc>
        <w:tc>
          <w:tcPr>
            <w:tcW w:w="5953" w:type="dxa"/>
          </w:tcPr>
          <w:p w:rsidR="006177A7" w:rsidRPr="006F37DC" w:rsidRDefault="006177A7" w:rsidP="00824F00">
            <w:pPr>
              <w:spacing w:line="204" w:lineRule="auto"/>
              <w:ind w:firstLine="0"/>
            </w:pPr>
            <w:proofErr w:type="spellStart"/>
            <w:r w:rsidRPr="006F37DC">
              <w:t>Подсыхание</w:t>
            </w:r>
            <w:proofErr w:type="spellEnd"/>
            <w:r w:rsidRPr="006F37DC">
              <w:t xml:space="preserve"> верхушки и краев листьев. Окр</w:t>
            </w:r>
            <w:r w:rsidRPr="006F37DC">
              <w:t>а</w:t>
            </w:r>
            <w:r w:rsidRPr="006F37DC">
              <w:t xml:space="preserve">ска подсохших частей листьев – оранжево-красная </w:t>
            </w:r>
            <w:proofErr w:type="gramStart"/>
            <w:r w:rsidRPr="006F37DC">
              <w:t>в</w:t>
            </w:r>
            <w:proofErr w:type="gramEnd"/>
            <w:r w:rsidRPr="006F37DC">
              <w:t xml:space="preserve"> белесоватым оттенком</w:t>
            </w:r>
          </w:p>
        </w:tc>
      </w:tr>
    </w:tbl>
    <w:p w:rsidR="00824F00" w:rsidRDefault="00824F00" w:rsidP="006F37DC">
      <w:pPr>
        <w:spacing w:before="120" w:line="240" w:lineRule="auto"/>
        <w:jc w:val="both"/>
      </w:pPr>
      <w:r>
        <w:t>Отложив по оси «у» - % пожелтения, а по оси «</w:t>
      </w:r>
      <w:proofErr w:type="spellStart"/>
      <w:r>
        <w:t>х</w:t>
      </w:r>
      <w:proofErr w:type="spellEnd"/>
      <w:r>
        <w:t>» - % убыли воды для каждого из изучаемых сортов табака, и соединив полученные точки с нач</w:t>
      </w:r>
      <w:r>
        <w:t>а</w:t>
      </w:r>
      <w:r>
        <w:t>лом координат, получили семейство прямых, которые отличаются друг от друга углом наклона</w:t>
      </w:r>
      <w:proofErr w:type="gramStart"/>
      <w:r>
        <w:t xml:space="preserve"> (λ) </w:t>
      </w:r>
      <w:proofErr w:type="gramEnd"/>
      <w:r>
        <w:t xml:space="preserve">их к оси </w:t>
      </w:r>
      <w:r w:rsidR="009922BD">
        <w:t>абцисс</w:t>
      </w:r>
      <w:r>
        <w:t>.</w:t>
      </w:r>
    </w:p>
    <w:p w:rsidR="00824F00" w:rsidRDefault="00824F00" w:rsidP="00571A1B">
      <w:pPr>
        <w:spacing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67310</wp:posOffset>
            </wp:positionV>
            <wp:extent cx="4427220" cy="4038600"/>
            <wp:effectExtent l="0" t="0" r="0" b="0"/>
            <wp:wrapNone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F236D8" w:rsidP="00571A1B">
      <w:pPr>
        <w:spacing w:line="240" w:lineRule="auto"/>
        <w:jc w:val="both"/>
      </w:pPr>
      <w:r>
        <w:rPr>
          <w:noProof/>
          <w:lang w:eastAsia="ru-RU"/>
        </w:rPr>
        <w:pict>
          <v:group id="_x0000_s1026" style="position:absolute;left:0;text-align:left;margin-left:125.95pt;margin-top:3.9pt;width:27.8pt;height:19.2pt;z-index:251666432" coordorigin="4388,7634" coordsize="556,384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27" type="#_x0000_t19" style="position:absolute;left:4388;top:7634;width:274;height:360;rotation:1572320fd" coordsize="21417,21600" adj=",-489576" path="wr-21600,,21600,43200,,,21417,18792nfewr-21600,,21600,43200,,,21417,18792l,21600nsxe">
              <v:path o:connectlocs="0,0;21417,18792;0,21600"/>
            </v:shape>
            <v:rect id="_x0000_s1028" style="position:absolute;left:4572;top:7634;width:372;height:384" filled="f" stroked="f">
              <v:textbox style="mso-next-textbox:#_x0000_s1028">
                <w:txbxContent>
                  <w:p w:rsidR="00D75256" w:rsidRDefault="00D75256" w:rsidP="00D75256">
                    <w:pPr>
                      <w:spacing w:line="240" w:lineRule="auto"/>
                      <w:ind w:firstLine="0"/>
                      <w:jc w:val="both"/>
                    </w:pPr>
                    <w:r>
                      <w:t>λ</w:t>
                    </w:r>
                  </w:p>
                  <w:p w:rsidR="00D75256" w:rsidRDefault="00D75256" w:rsidP="00D75256">
                    <w:pPr>
                      <w:spacing w:line="240" w:lineRule="auto"/>
                      <w:jc w:val="both"/>
                    </w:pPr>
                    <w:proofErr w:type="spellStart"/>
                    <w:r>
                      <w:t>ы</w:t>
                    </w:r>
                    <w:proofErr w:type="spellEnd"/>
                  </w:p>
                  <w:p w:rsidR="00D75256" w:rsidRDefault="00D75256" w:rsidP="00D75256"/>
                </w:txbxContent>
              </v:textbox>
            </v:rect>
          </v:group>
        </w:pict>
      </w: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571A1B">
      <w:pPr>
        <w:spacing w:line="240" w:lineRule="auto"/>
        <w:jc w:val="both"/>
      </w:pPr>
    </w:p>
    <w:p w:rsidR="00824F00" w:rsidRDefault="00824F00" w:rsidP="00824F00">
      <w:pPr>
        <w:tabs>
          <w:tab w:val="left" w:pos="1701"/>
        </w:tabs>
        <w:jc w:val="center"/>
      </w:pPr>
      <w:r>
        <w:t xml:space="preserve">Рисунок  Влияние ботанического сорта на согласованность процессов </w:t>
      </w:r>
    </w:p>
    <w:p w:rsidR="00824F00" w:rsidRDefault="00824F00" w:rsidP="00824F00">
      <w:pPr>
        <w:tabs>
          <w:tab w:val="left" w:pos="1701"/>
        </w:tabs>
        <w:jc w:val="center"/>
      </w:pPr>
      <w:r>
        <w:t>пожелтения и обезвоживания</w:t>
      </w:r>
    </w:p>
    <w:p w:rsidR="00824F00" w:rsidRDefault="00824F00" w:rsidP="006F37DC">
      <w:pPr>
        <w:spacing w:before="120" w:line="240" w:lineRule="auto"/>
        <w:jc w:val="both"/>
      </w:pPr>
      <w:r>
        <w:t xml:space="preserve">По значению тангенса угла наклона этих </w:t>
      </w:r>
      <w:proofErr w:type="gramStart"/>
      <w:r>
        <w:t>линий</w:t>
      </w:r>
      <w:proofErr w:type="gramEnd"/>
      <w:r>
        <w:t xml:space="preserve"> возможно судить о ст</w:t>
      </w:r>
      <w:r>
        <w:t>е</w:t>
      </w:r>
      <w:r>
        <w:t>пени согласования процессов пожелтения и влагоотдачи</w:t>
      </w:r>
      <w:r w:rsidR="00C7368F">
        <w:t xml:space="preserve"> </w:t>
      </w:r>
      <w:r>
        <w:t>табаком при его томлении</w:t>
      </w:r>
      <w:r w:rsidR="00C7368F">
        <w:t xml:space="preserve">. </w:t>
      </w:r>
      <w:r>
        <w:t>Очевидно, что если имеет место согласован</w:t>
      </w:r>
      <w:r w:rsidR="00A61C58">
        <w:t>ные</w:t>
      </w:r>
      <w:r>
        <w:t xml:space="preserve"> процесс</w:t>
      </w:r>
      <w:r w:rsidR="00A61C58">
        <w:t>ы</w:t>
      </w:r>
      <w:r>
        <w:t xml:space="preserve"> поже</w:t>
      </w:r>
      <w:r>
        <w:t>л</w:t>
      </w:r>
      <w:r>
        <w:t xml:space="preserve">тения и влагоотдачи, то </w:t>
      </w:r>
      <w:proofErr w:type="spellStart"/>
      <w:r>
        <w:rPr>
          <w:lang w:val="en-US"/>
        </w:rPr>
        <w:t>tg</w:t>
      </w:r>
      <w:proofErr w:type="spellEnd"/>
      <w:r w:rsidRPr="001E2B5D">
        <w:t xml:space="preserve"> </w:t>
      </w:r>
      <w:r>
        <w:t>λ</w:t>
      </w:r>
      <w:r w:rsidRPr="001E2B5D">
        <w:t xml:space="preserve"> = 1</w:t>
      </w:r>
      <w:r>
        <w:t>. Если он выше единицы, то темпы пожелт</w:t>
      </w:r>
      <w:r>
        <w:t>е</w:t>
      </w:r>
      <w:r>
        <w:lastRenderedPageBreak/>
        <w:t>ния опережают темпы обезвоживания, а если – меньше единицы, то наоб</w:t>
      </w:r>
      <w:r>
        <w:t>о</w:t>
      </w:r>
      <w:r>
        <w:t>рот</w:t>
      </w:r>
      <w:r w:rsidR="00C7368F">
        <w:t>, темпы обезвоживания опережают темпы пожелтения.</w:t>
      </w:r>
    </w:p>
    <w:p w:rsidR="00C7368F" w:rsidRPr="00C7368F" w:rsidRDefault="00C7368F" w:rsidP="00571A1B">
      <w:pPr>
        <w:spacing w:line="240" w:lineRule="auto"/>
        <w:jc w:val="both"/>
      </w:pPr>
      <w:r>
        <w:t>Очевидно, что в первом случае убирать табак следует в начале периода созревания – в состоянии «</w:t>
      </w:r>
      <w:proofErr w:type="spellStart"/>
      <w:r>
        <w:t>надзелень</w:t>
      </w:r>
      <w:proofErr w:type="spellEnd"/>
      <w:r>
        <w:t>», а во втором – в конце периода созр</w:t>
      </w:r>
      <w:r>
        <w:t>е</w:t>
      </w:r>
      <w:r>
        <w:t>вания при достижении полной технической зрелости и использовать кратк</w:t>
      </w:r>
      <w:r>
        <w:t>о</w:t>
      </w:r>
      <w:r>
        <w:t>временное интенсивное продувание массы табачных листьев наружным во</w:t>
      </w:r>
      <w:r>
        <w:t>з</w:t>
      </w:r>
      <w:r>
        <w:t>духом, т.е. применять переменные (</w:t>
      </w:r>
      <w:proofErr w:type="spellStart"/>
      <w:r>
        <w:t>осцилирующие</w:t>
      </w:r>
      <w:proofErr w:type="spellEnd"/>
      <w:r>
        <w:t xml:space="preserve">) режимы томления табака </w:t>
      </w:r>
      <w:r w:rsidRPr="00C7368F">
        <w:t>[</w:t>
      </w:r>
      <w:r>
        <w:t>1,2</w:t>
      </w:r>
      <w:r w:rsidRPr="00C7368F">
        <w:t>]</w:t>
      </w:r>
      <w:r>
        <w:t>.</w:t>
      </w:r>
    </w:p>
    <w:p w:rsidR="00C7368F" w:rsidRDefault="00C7368F" w:rsidP="00571A1B">
      <w:pPr>
        <w:spacing w:line="240" w:lineRule="auto"/>
        <w:jc w:val="both"/>
      </w:pPr>
      <w:r>
        <w:t>При строгом соблюдении технологий уборки и подготовки табака к сушке в зависимости от ботанического сорта пределы колебания степеней пожелтения не превышают 5-10 %, а убыли влаги – 4-5 %</w:t>
      </w:r>
      <w:r w:rsidR="006F37DC">
        <w:t>.</w:t>
      </w:r>
    </w:p>
    <w:p w:rsidR="00BA1587" w:rsidRDefault="00BA1587" w:rsidP="00BA1587">
      <w:pPr>
        <w:spacing w:line="240" w:lineRule="auto"/>
        <w:jc w:val="right"/>
      </w:pPr>
      <w:r>
        <w:t>Таблица 2</w:t>
      </w:r>
    </w:p>
    <w:p w:rsidR="00BA1587" w:rsidRDefault="00BA1587" w:rsidP="006F37DC">
      <w:pPr>
        <w:spacing w:after="120" w:line="240" w:lineRule="auto"/>
        <w:jc w:val="both"/>
      </w:pPr>
      <w:r>
        <w:t>Влияние ботанического сорта на степень пожелтения и обезвоживания табака при томлении в естественных условиях (среднее за 10 лет)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228"/>
        <w:gridCol w:w="1228"/>
        <w:gridCol w:w="1211"/>
        <w:gridCol w:w="18"/>
        <w:gridCol w:w="1216"/>
        <w:gridCol w:w="1217"/>
        <w:gridCol w:w="1217"/>
      </w:tblGrid>
      <w:tr w:rsidR="00C7368F" w:rsidRPr="006F37DC" w:rsidTr="006F37DC">
        <w:tc>
          <w:tcPr>
            <w:tcW w:w="2235" w:type="dxa"/>
            <w:vMerge w:val="restart"/>
            <w:vAlign w:val="center"/>
          </w:tcPr>
          <w:p w:rsidR="00C7368F" w:rsidRPr="006F37DC" w:rsidRDefault="00C7368F" w:rsidP="00810A33">
            <w:pPr>
              <w:ind w:firstLine="0"/>
              <w:jc w:val="center"/>
            </w:pPr>
            <w:r w:rsidRPr="006F37DC">
              <w:t xml:space="preserve">Ботанический </w:t>
            </w:r>
          </w:p>
          <w:p w:rsidR="00C7368F" w:rsidRPr="006F37DC" w:rsidRDefault="00C7368F" w:rsidP="00810A33">
            <w:pPr>
              <w:ind w:firstLine="0"/>
              <w:jc w:val="center"/>
            </w:pPr>
            <w:r w:rsidRPr="006F37DC">
              <w:t>сорт табака</w:t>
            </w:r>
          </w:p>
        </w:tc>
        <w:tc>
          <w:tcPr>
            <w:tcW w:w="3667" w:type="dxa"/>
            <w:gridSpan w:val="3"/>
            <w:vAlign w:val="center"/>
          </w:tcPr>
          <w:p w:rsidR="00C7368F" w:rsidRPr="006F37DC" w:rsidRDefault="00C7368F" w:rsidP="00810A33">
            <w:pPr>
              <w:ind w:firstLine="0"/>
              <w:jc w:val="center"/>
            </w:pPr>
            <w:r w:rsidRPr="006F37DC">
              <w:t xml:space="preserve">Степень пожелтения, </w:t>
            </w:r>
          </w:p>
          <w:p w:rsidR="00C7368F" w:rsidRPr="006F37DC" w:rsidRDefault="00C7368F" w:rsidP="00810A33">
            <w:pPr>
              <w:ind w:firstLine="0"/>
              <w:jc w:val="center"/>
            </w:pPr>
            <w:r w:rsidRPr="006F37DC">
              <w:t>%</w:t>
            </w:r>
          </w:p>
        </w:tc>
        <w:tc>
          <w:tcPr>
            <w:tcW w:w="3668" w:type="dxa"/>
            <w:gridSpan w:val="4"/>
            <w:vAlign w:val="center"/>
          </w:tcPr>
          <w:p w:rsidR="00C7368F" w:rsidRPr="006F37DC" w:rsidRDefault="00C7368F" w:rsidP="00810A33">
            <w:pPr>
              <w:ind w:firstLine="0"/>
              <w:jc w:val="center"/>
            </w:pPr>
            <w:r w:rsidRPr="006F37DC">
              <w:t>Убыль массовой доли воды, % от содержания в свежеу</w:t>
            </w:r>
            <w:r w:rsidRPr="006F37DC">
              <w:t>б</w:t>
            </w:r>
            <w:r w:rsidRPr="006F37DC">
              <w:t>ранных листьях</w:t>
            </w:r>
          </w:p>
        </w:tc>
      </w:tr>
      <w:tr w:rsidR="00C7368F" w:rsidRPr="006F37DC" w:rsidTr="006F37DC">
        <w:tc>
          <w:tcPr>
            <w:tcW w:w="2235" w:type="dxa"/>
            <w:vMerge/>
            <w:vAlign w:val="center"/>
          </w:tcPr>
          <w:p w:rsidR="00C7368F" w:rsidRPr="006F37DC" w:rsidRDefault="00C7368F" w:rsidP="00810A33">
            <w:pPr>
              <w:ind w:firstLine="0"/>
              <w:jc w:val="center"/>
            </w:pP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ind w:firstLine="0"/>
              <w:jc w:val="center"/>
              <w:rPr>
                <w:lang w:val="en-US"/>
              </w:rPr>
            </w:pPr>
            <w:r w:rsidRPr="006F37DC">
              <w:rPr>
                <w:lang w:val="en-US"/>
              </w:rPr>
              <w:t>min</w:t>
            </w: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ind w:firstLine="0"/>
              <w:jc w:val="center"/>
              <w:rPr>
                <w:lang w:val="en-US"/>
              </w:rPr>
            </w:pPr>
            <w:r w:rsidRPr="006F37DC">
              <w:rPr>
                <w:lang w:val="en-US"/>
              </w:rPr>
              <w:t>max</w:t>
            </w:r>
          </w:p>
        </w:tc>
        <w:tc>
          <w:tcPr>
            <w:tcW w:w="1229" w:type="dxa"/>
            <w:gridSpan w:val="2"/>
            <w:vAlign w:val="center"/>
          </w:tcPr>
          <w:p w:rsidR="00C7368F" w:rsidRPr="006F37DC" w:rsidRDefault="00C7368F" w:rsidP="00810A33">
            <w:pPr>
              <w:ind w:firstLine="0"/>
              <w:jc w:val="center"/>
            </w:pPr>
            <w:r w:rsidRPr="006F37DC">
              <w:t>сред.</w:t>
            </w:r>
          </w:p>
        </w:tc>
        <w:tc>
          <w:tcPr>
            <w:tcW w:w="1216" w:type="dxa"/>
            <w:vAlign w:val="center"/>
          </w:tcPr>
          <w:p w:rsidR="00C7368F" w:rsidRPr="006F37DC" w:rsidRDefault="00C7368F" w:rsidP="00591762">
            <w:pPr>
              <w:ind w:firstLine="0"/>
              <w:jc w:val="center"/>
              <w:rPr>
                <w:lang w:val="en-US"/>
              </w:rPr>
            </w:pPr>
            <w:r w:rsidRPr="006F37DC">
              <w:rPr>
                <w:lang w:val="en-US"/>
              </w:rPr>
              <w:t>min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591762">
            <w:pPr>
              <w:ind w:firstLine="0"/>
              <w:jc w:val="center"/>
              <w:rPr>
                <w:lang w:val="en-US"/>
              </w:rPr>
            </w:pPr>
            <w:r w:rsidRPr="006F37DC">
              <w:rPr>
                <w:lang w:val="en-US"/>
              </w:rPr>
              <w:t>max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591762">
            <w:pPr>
              <w:ind w:firstLine="0"/>
              <w:jc w:val="center"/>
            </w:pPr>
            <w:r w:rsidRPr="006F37DC">
              <w:t>сред.</w:t>
            </w:r>
          </w:p>
        </w:tc>
      </w:tr>
      <w:tr w:rsidR="00C7368F" w:rsidRPr="006F37DC" w:rsidTr="006F37DC">
        <w:tc>
          <w:tcPr>
            <w:tcW w:w="2235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both"/>
            </w:pPr>
            <w:proofErr w:type="spellStart"/>
            <w:r w:rsidRPr="006F37DC">
              <w:t>Трапезонд</w:t>
            </w:r>
            <w:proofErr w:type="spellEnd"/>
            <w:r w:rsidRPr="006F37DC">
              <w:t xml:space="preserve"> 219</w:t>
            </w: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60</w:t>
            </w: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80</w:t>
            </w:r>
          </w:p>
        </w:tc>
        <w:tc>
          <w:tcPr>
            <w:tcW w:w="1229" w:type="dxa"/>
            <w:gridSpan w:val="2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70</w:t>
            </w:r>
          </w:p>
        </w:tc>
        <w:tc>
          <w:tcPr>
            <w:tcW w:w="1216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35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44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42</w:t>
            </w:r>
          </w:p>
        </w:tc>
      </w:tr>
      <w:tr w:rsidR="00C7368F" w:rsidRPr="006F37DC" w:rsidTr="006F37DC">
        <w:tc>
          <w:tcPr>
            <w:tcW w:w="2235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both"/>
              <w:rPr>
                <w:vertAlign w:val="superscript"/>
              </w:rPr>
            </w:pPr>
            <w:proofErr w:type="spellStart"/>
            <w:r w:rsidRPr="006F37DC">
              <w:t>Трапезонд</w:t>
            </w:r>
            <w:proofErr w:type="spellEnd"/>
            <w:r w:rsidRPr="006F37DC">
              <w:t xml:space="preserve"> 92 </w:t>
            </w:r>
            <w:r w:rsidRPr="006F37DC">
              <w:rPr>
                <w:vertAlign w:val="superscript"/>
              </w:rPr>
              <w:t>3)</w:t>
            </w: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85</w:t>
            </w: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95</w:t>
            </w:r>
          </w:p>
        </w:tc>
        <w:tc>
          <w:tcPr>
            <w:tcW w:w="1229" w:type="dxa"/>
            <w:gridSpan w:val="2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90</w:t>
            </w:r>
          </w:p>
        </w:tc>
        <w:tc>
          <w:tcPr>
            <w:tcW w:w="1216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30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42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36</w:t>
            </w:r>
          </w:p>
        </w:tc>
      </w:tr>
      <w:tr w:rsidR="00C7368F" w:rsidRPr="006F37DC" w:rsidTr="006F37DC">
        <w:tc>
          <w:tcPr>
            <w:tcW w:w="2235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both"/>
            </w:pPr>
            <w:r w:rsidRPr="006F37DC">
              <w:t>Остролист 215</w:t>
            </w: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65</w:t>
            </w: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80</w:t>
            </w:r>
          </w:p>
        </w:tc>
        <w:tc>
          <w:tcPr>
            <w:tcW w:w="1229" w:type="dxa"/>
            <w:gridSpan w:val="2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75</w:t>
            </w:r>
          </w:p>
        </w:tc>
        <w:tc>
          <w:tcPr>
            <w:tcW w:w="1216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35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44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40</w:t>
            </w:r>
          </w:p>
        </w:tc>
      </w:tr>
      <w:tr w:rsidR="00C7368F" w:rsidRPr="006F37DC" w:rsidTr="006F37DC">
        <w:tc>
          <w:tcPr>
            <w:tcW w:w="2235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both"/>
            </w:pPr>
            <w:r w:rsidRPr="006F37DC">
              <w:t>Юбилейный</w:t>
            </w: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80</w:t>
            </w:r>
          </w:p>
        </w:tc>
        <w:tc>
          <w:tcPr>
            <w:tcW w:w="1228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95</w:t>
            </w:r>
          </w:p>
        </w:tc>
        <w:tc>
          <w:tcPr>
            <w:tcW w:w="1229" w:type="dxa"/>
            <w:gridSpan w:val="2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90</w:t>
            </w:r>
          </w:p>
        </w:tc>
        <w:tc>
          <w:tcPr>
            <w:tcW w:w="1216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30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40</w:t>
            </w:r>
          </w:p>
        </w:tc>
        <w:tc>
          <w:tcPr>
            <w:tcW w:w="1217" w:type="dxa"/>
            <w:vAlign w:val="center"/>
          </w:tcPr>
          <w:p w:rsidR="00C7368F" w:rsidRPr="006F37DC" w:rsidRDefault="00C7368F" w:rsidP="00810A33">
            <w:pPr>
              <w:spacing w:line="276" w:lineRule="auto"/>
              <w:ind w:firstLine="0"/>
              <w:jc w:val="center"/>
            </w:pPr>
            <w:r w:rsidRPr="006F37DC">
              <w:t>35</w:t>
            </w:r>
          </w:p>
        </w:tc>
      </w:tr>
    </w:tbl>
    <w:p w:rsidR="00810A33" w:rsidRDefault="00810A33" w:rsidP="00810A33">
      <w:pPr>
        <w:spacing w:line="240" w:lineRule="auto"/>
        <w:ind w:firstLine="0"/>
        <w:jc w:val="both"/>
        <w:rPr>
          <w:sz w:val="24"/>
          <w:szCs w:val="24"/>
        </w:rPr>
      </w:pPr>
      <w:r w:rsidRPr="00810A33">
        <w:rPr>
          <w:sz w:val="24"/>
          <w:szCs w:val="24"/>
        </w:rPr>
        <w:t>Примечание: 1) Табака томили под навесом, укрытым полиэтиленовой пленкой.</w:t>
      </w:r>
    </w:p>
    <w:p w:rsidR="00810A33" w:rsidRDefault="00810A33" w:rsidP="00810A33">
      <w:pPr>
        <w:spacing w:line="240" w:lineRule="auto"/>
        <w:ind w:left="1418" w:firstLine="0"/>
        <w:jc w:val="both"/>
        <w:rPr>
          <w:sz w:val="24"/>
          <w:szCs w:val="24"/>
        </w:rPr>
      </w:pPr>
      <w:r w:rsidRPr="00810A33">
        <w:rPr>
          <w:sz w:val="24"/>
          <w:szCs w:val="24"/>
        </w:rPr>
        <w:t>2) Свежеубранные листья размещали на П-образных иглах в три яруса по высоте навеса</w:t>
      </w:r>
      <w:r>
        <w:rPr>
          <w:sz w:val="24"/>
          <w:szCs w:val="24"/>
        </w:rPr>
        <w:t>.</w:t>
      </w:r>
    </w:p>
    <w:p w:rsidR="00C7368F" w:rsidRDefault="00C7368F" w:rsidP="00810A33">
      <w:pPr>
        <w:spacing w:line="240" w:lineRule="auto"/>
        <w:ind w:left="1418" w:firstLine="0"/>
        <w:jc w:val="both"/>
        <w:rPr>
          <w:sz w:val="24"/>
          <w:szCs w:val="24"/>
        </w:rPr>
      </w:pPr>
      <w:r>
        <w:rPr>
          <w:sz w:val="24"/>
          <w:szCs w:val="24"/>
        </w:rPr>
        <w:t>3) Средние данные за 5 лет.</w:t>
      </w:r>
    </w:p>
    <w:p w:rsidR="00FD6A55" w:rsidRDefault="00FD6A55" w:rsidP="00C36D3C">
      <w:pPr>
        <w:spacing w:before="120" w:line="240" w:lineRule="auto"/>
        <w:jc w:val="both"/>
      </w:pPr>
      <w:r>
        <w:t>В результате о</w:t>
      </w:r>
      <w:r w:rsidR="00810A33">
        <w:t>бработк</w:t>
      </w:r>
      <w:r>
        <w:t xml:space="preserve">и </w:t>
      </w:r>
      <w:r w:rsidR="00810A33">
        <w:t xml:space="preserve">экспериментальных данных </w:t>
      </w:r>
      <w:r w:rsidR="00C7368F">
        <w:t>табл</w:t>
      </w:r>
      <w:r>
        <w:t>ицы</w:t>
      </w:r>
      <w:r w:rsidR="00C7368F">
        <w:t xml:space="preserve"> 2</w:t>
      </w:r>
      <w:r>
        <w:t xml:space="preserve"> </w:t>
      </w:r>
      <w:r w:rsidR="00C7368F">
        <w:t xml:space="preserve">и </w:t>
      </w:r>
      <w:r>
        <w:t>и</w:t>
      </w:r>
      <w:r w:rsidR="00C7368F">
        <w:t>с</w:t>
      </w:r>
      <w:r w:rsidR="00C7368F">
        <w:t>польз</w:t>
      </w:r>
      <w:r>
        <w:t>о</w:t>
      </w:r>
      <w:r w:rsidR="00C7368F">
        <w:t>вание рекомендаций по повышению степени согласованности проце</w:t>
      </w:r>
      <w:r w:rsidR="00C7368F">
        <w:t>с</w:t>
      </w:r>
      <w:r w:rsidR="00C7368F">
        <w:t>сов пожелтения и влагоотдачи</w:t>
      </w:r>
      <w:r>
        <w:t xml:space="preserve"> (1,4≥</w:t>
      </w:r>
      <w:r w:rsidRPr="00FD6A55">
        <w:t xml:space="preserve"> </w:t>
      </w:r>
      <w:proofErr w:type="spellStart"/>
      <w:r>
        <w:rPr>
          <w:lang w:val="en-US"/>
        </w:rPr>
        <w:t>tg</w:t>
      </w:r>
      <w:proofErr w:type="spellEnd"/>
      <w:r w:rsidRPr="001E2B5D">
        <w:t xml:space="preserve"> </w:t>
      </w:r>
      <w:r>
        <w:t>λ≤0,85)</w:t>
      </w:r>
      <w:r w:rsidRPr="00FD6A55">
        <w:t xml:space="preserve"> </w:t>
      </w:r>
      <w:r>
        <w:t>установлена эмпирическая з</w:t>
      </w:r>
      <w:r>
        <w:t>а</w:t>
      </w:r>
      <w:r>
        <w:t>висимость вида:</w:t>
      </w:r>
    </w:p>
    <w:p w:rsidR="00FD6A55" w:rsidRPr="002B0996" w:rsidRDefault="00F236D8" w:rsidP="006F37DC">
      <w:pPr>
        <w:spacing w:line="240" w:lineRule="auto"/>
        <w:ind w:firstLine="0"/>
        <w:jc w:val="center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  <m:r>
          <w:rPr>
            <w:rFonts w:ascii="Cambria Math"/>
          </w:rPr>
          <m:t>=72,4</m:t>
        </m:r>
        <m:r>
          <w:rPr>
            <w:rFonts w:asci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/>
              </w:rPr>
              <m:t>е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/>
              </w:rPr>
              <m:t>2,204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 xml:space="preserve"> % </m:t>
                </m:r>
              </m:e>
              <m:sub>
                <m:r>
                  <w:rPr>
                    <w:rFonts w:ascii="Cambria Math" w:hAnsi="Cambria Math"/>
                  </w:rPr>
                  <m:t>∆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Н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r>
              <w:rPr>
                <w:rFonts w:ascii="Cambria Math"/>
              </w:rPr>
              <m:t>О</m:t>
            </m:r>
          </m:sup>
        </m:sSup>
      </m:oMath>
      <w:r w:rsidR="00FD6A55" w:rsidRPr="002B0996">
        <w:rPr>
          <w:rFonts w:eastAsiaTheme="minorEastAsia"/>
        </w:rPr>
        <w:t>,</w:t>
      </w:r>
    </w:p>
    <w:p w:rsidR="00FD6A55" w:rsidRDefault="00FD6A55" w:rsidP="006F37DC">
      <w:pPr>
        <w:spacing w:before="120" w:line="240" w:lineRule="auto"/>
        <w:ind w:left="2410" w:hanging="1701"/>
        <w:jc w:val="both"/>
        <w:rPr>
          <w:rFonts w:eastAsiaTheme="minorEastAsia"/>
        </w:rPr>
      </w:pP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τ</m:t>
            </m:r>
          </m:e>
          <m:sub>
            <m:r>
              <w:rPr>
                <w:rFonts w:ascii="Cambria Math" w:hAnsi="Cambria Math"/>
                <w:lang w:val="en-US"/>
              </w:rPr>
              <m:t>max</m:t>
            </m:r>
          </m:sub>
        </m:sSub>
      </m:oMath>
      <w:r>
        <w:rPr>
          <w:rFonts w:eastAsiaTheme="minorEastAsia"/>
        </w:rPr>
        <w:t xml:space="preserve"> – максимальная продолжительность процесса естественной сушки, </w:t>
      </w:r>
      <w:proofErr w:type="gramStart"/>
      <w:r>
        <w:rPr>
          <w:rFonts w:eastAsiaTheme="minorEastAsia"/>
        </w:rPr>
        <w:t>ч</w:t>
      </w:r>
      <w:proofErr w:type="gramEnd"/>
      <w:r>
        <w:rPr>
          <w:rFonts w:eastAsiaTheme="minorEastAsia"/>
        </w:rPr>
        <w:t>.;</w:t>
      </w:r>
    </w:p>
    <w:p w:rsidR="00FD6A55" w:rsidRDefault="00FD6A55" w:rsidP="00FD6A55">
      <w:pPr>
        <w:spacing w:line="240" w:lineRule="auto"/>
        <w:ind w:left="2410" w:hanging="1134"/>
        <w:jc w:val="both"/>
        <w:rPr>
          <w:rFonts w:eastAsiaTheme="minorEastAsia"/>
        </w:rPr>
      </w:pPr>
      <w:r>
        <w:rPr>
          <w:rFonts w:eastAsiaTheme="minorEastAsia"/>
        </w:rPr>
        <w:t>72,4 и 2,204 – эмпирические коэффициенты;</w:t>
      </w:r>
    </w:p>
    <w:p w:rsidR="00FD6A55" w:rsidRDefault="00F236D8" w:rsidP="00FD6A55">
      <w:pPr>
        <w:spacing w:line="240" w:lineRule="auto"/>
        <w:ind w:left="1276" w:firstLine="0"/>
        <w:jc w:val="both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 xml:space="preserve"> % </m:t>
            </m:r>
          </m:e>
          <m:sub>
            <m:r>
              <w:rPr>
                <w:rFonts w:ascii="Cambria Math" w:hAnsi="Cambria Math"/>
              </w:rPr>
              <m:t>∆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Н</m:t>
            </m:r>
          </m:e>
          <m:sub>
            <m:r>
              <w:rPr>
                <w:rFonts w:ascii="Cambria Math"/>
              </w:rPr>
              <m:t>2</m:t>
            </m:r>
          </m:sub>
        </m:sSub>
        <m:r>
          <w:rPr>
            <w:rFonts w:ascii="Cambria Math"/>
          </w:rPr>
          <m:t>О</m:t>
        </m:r>
      </m:oMath>
      <w:r w:rsidR="00FD6A55">
        <w:rPr>
          <w:rFonts w:eastAsiaTheme="minorEastAsia"/>
        </w:rPr>
        <w:t xml:space="preserve"> - массовая доля воды, удаляемой  при томлении.</w:t>
      </w:r>
    </w:p>
    <w:p w:rsidR="00FD6A55" w:rsidRPr="00C36D3C" w:rsidRDefault="00FD6A55" w:rsidP="00C36D3C">
      <w:pPr>
        <w:spacing w:before="120" w:line="240" w:lineRule="auto"/>
        <w:jc w:val="both"/>
        <w:rPr>
          <w:spacing w:val="-2"/>
        </w:rPr>
      </w:pPr>
      <w:r w:rsidRPr="00C36D3C">
        <w:rPr>
          <w:spacing w:val="-2"/>
        </w:rPr>
        <w:t>Однородность дисперсий и значимость показателей уравнения подтве</w:t>
      </w:r>
      <w:r w:rsidRPr="00C36D3C">
        <w:rPr>
          <w:spacing w:val="-2"/>
        </w:rPr>
        <w:t>р</w:t>
      </w:r>
      <w:r w:rsidRPr="00C36D3C">
        <w:rPr>
          <w:spacing w:val="-2"/>
        </w:rPr>
        <w:t>ждена статистическими критериями Стьюдента и Фишера, что позволяет р</w:t>
      </w:r>
      <w:r w:rsidRPr="00C36D3C">
        <w:rPr>
          <w:spacing w:val="-2"/>
        </w:rPr>
        <w:t>е</w:t>
      </w:r>
      <w:r w:rsidRPr="00C36D3C">
        <w:rPr>
          <w:spacing w:val="-2"/>
        </w:rPr>
        <w:t>комендовать это уравнение для расчета максимальной продолжительности е</w:t>
      </w:r>
      <w:r w:rsidRPr="00C36D3C">
        <w:rPr>
          <w:spacing w:val="-2"/>
        </w:rPr>
        <w:t>с</w:t>
      </w:r>
      <w:r w:rsidRPr="00C36D3C">
        <w:rPr>
          <w:spacing w:val="-2"/>
        </w:rPr>
        <w:t>тественной сушки различных ботанических сортов табака с точностью 10-15 %.</w:t>
      </w:r>
    </w:p>
    <w:p w:rsidR="00FD6A55" w:rsidRDefault="00FD6A55" w:rsidP="00810A33">
      <w:pPr>
        <w:spacing w:line="240" w:lineRule="auto"/>
        <w:jc w:val="both"/>
      </w:pPr>
      <w:r>
        <w:t xml:space="preserve">Таким образом, проведенные исследования, представленные в данной работе, могут быть использованы для установления влияния согласованности процессов пожелтения и влагоотдачи свежеубранных </w:t>
      </w:r>
      <w:proofErr w:type="gramStart"/>
      <w:r>
        <w:t>листьев</w:t>
      </w:r>
      <w:proofErr w:type="gramEnd"/>
      <w:r>
        <w:t xml:space="preserve"> районирова</w:t>
      </w:r>
      <w:r>
        <w:t>н</w:t>
      </w:r>
      <w:r>
        <w:lastRenderedPageBreak/>
        <w:t>ных и вновь создаваемых сортов табака, а также для прогнозирования ма</w:t>
      </w:r>
      <w:r>
        <w:t>к</w:t>
      </w:r>
      <w:r>
        <w:t xml:space="preserve">симальной продолжительности естественной сушки. При этом на основании полученных </w:t>
      </w:r>
      <w:r w:rsidR="00C36D3C">
        <w:t>данных,</w:t>
      </w:r>
      <w:r>
        <w:t xml:space="preserve"> </w:t>
      </w:r>
      <w:r w:rsidR="00C36D3C">
        <w:t>возможно,</w:t>
      </w:r>
      <w:r>
        <w:t xml:space="preserve"> получить информацию, необходимую для совершенствования технологий уборки, томления и сушки табака.</w:t>
      </w:r>
    </w:p>
    <w:p w:rsidR="006F37DC" w:rsidRDefault="006F37DC" w:rsidP="00810A33">
      <w:pPr>
        <w:spacing w:line="240" w:lineRule="auto"/>
        <w:jc w:val="both"/>
        <w:rPr>
          <w:b/>
        </w:rPr>
      </w:pPr>
    </w:p>
    <w:p w:rsidR="002B0996" w:rsidRDefault="00B74CAA" w:rsidP="00810A33">
      <w:pPr>
        <w:spacing w:line="240" w:lineRule="auto"/>
        <w:jc w:val="both"/>
        <w:rPr>
          <w:b/>
        </w:rPr>
      </w:pPr>
      <w:r w:rsidRPr="00B74CAA">
        <w:rPr>
          <w:b/>
        </w:rPr>
        <w:t>Литература</w:t>
      </w:r>
    </w:p>
    <w:p w:rsidR="00B74CAA" w:rsidRDefault="00B74CAA" w:rsidP="00810A33">
      <w:pPr>
        <w:spacing w:line="240" w:lineRule="auto"/>
        <w:jc w:val="both"/>
      </w:pPr>
      <w:r>
        <w:t>1. Мохначев</w:t>
      </w:r>
      <w:r w:rsidR="008B1D8D">
        <w:t>,</w:t>
      </w:r>
      <w:r>
        <w:t xml:space="preserve"> И.Г. Технология су</w:t>
      </w:r>
      <w:r w:rsidR="008B1D8D">
        <w:t>шки и ферментации табака / И.Г. </w:t>
      </w:r>
      <w:r w:rsidRPr="008B1D8D">
        <w:t xml:space="preserve">Мохначев, М.Г. </w:t>
      </w:r>
      <w:proofErr w:type="spellStart"/>
      <w:r w:rsidRPr="008B1D8D">
        <w:t>Загоруйко</w:t>
      </w:r>
      <w:proofErr w:type="spellEnd"/>
      <w:r w:rsidRPr="008B1D8D">
        <w:t xml:space="preserve">, А.И. </w:t>
      </w:r>
      <w:proofErr w:type="spellStart"/>
      <w:r w:rsidRPr="008B1D8D">
        <w:t>Петрий</w:t>
      </w:r>
      <w:proofErr w:type="spellEnd"/>
      <w:r w:rsidRPr="008B1D8D">
        <w:t xml:space="preserve">. – М.: Колос, 1993. – 287 </w:t>
      </w:r>
      <w:proofErr w:type="gramStart"/>
      <w:r w:rsidRPr="008B1D8D">
        <w:t>с</w:t>
      </w:r>
      <w:proofErr w:type="gramEnd"/>
      <w:r w:rsidRPr="008B1D8D">
        <w:t>.</w:t>
      </w:r>
    </w:p>
    <w:p w:rsidR="008B1D8D" w:rsidRDefault="008B1D8D" w:rsidP="00810A33">
      <w:pPr>
        <w:spacing w:line="240" w:lineRule="auto"/>
        <w:jc w:val="both"/>
      </w:pPr>
      <w:r>
        <w:t xml:space="preserve">2. </w:t>
      </w:r>
      <w:proofErr w:type="spellStart"/>
      <w:r>
        <w:t>Петрий</w:t>
      </w:r>
      <w:proofErr w:type="spellEnd"/>
      <w:r>
        <w:t xml:space="preserve">, А.И. Состояние и перспективы развития послеуборочной обработки табака / А.И. </w:t>
      </w:r>
      <w:proofErr w:type="spellStart"/>
      <w:r>
        <w:t>Петрий</w:t>
      </w:r>
      <w:proofErr w:type="spellEnd"/>
      <w:r>
        <w:t xml:space="preserve">, И.И. </w:t>
      </w:r>
      <w:proofErr w:type="spellStart"/>
      <w:r>
        <w:t>Дьячкин</w:t>
      </w:r>
      <w:proofErr w:type="spellEnd"/>
      <w:r>
        <w:t xml:space="preserve"> // Современное состояние т</w:t>
      </w:r>
      <w:r>
        <w:t>а</w:t>
      </w:r>
      <w:r>
        <w:t xml:space="preserve">бачной отрасли и усиление ее научного обеспечения в РФ и странах СНГ: </w:t>
      </w:r>
      <w:proofErr w:type="gramStart"/>
      <w:r>
        <w:t>матер</w:t>
      </w:r>
      <w:proofErr w:type="gramEnd"/>
      <w:r>
        <w:t xml:space="preserve">. </w:t>
      </w:r>
      <w:proofErr w:type="spellStart"/>
      <w:r>
        <w:t>Междунар</w:t>
      </w:r>
      <w:proofErr w:type="spellEnd"/>
      <w:r>
        <w:t xml:space="preserve">. </w:t>
      </w:r>
      <w:proofErr w:type="spellStart"/>
      <w:r>
        <w:t>науч</w:t>
      </w:r>
      <w:proofErr w:type="gramStart"/>
      <w:r>
        <w:t>.-</w:t>
      </w:r>
      <w:proofErr w:type="gramEnd"/>
      <w:r>
        <w:t>практ</w:t>
      </w:r>
      <w:proofErr w:type="spellEnd"/>
      <w:r>
        <w:t xml:space="preserve">. </w:t>
      </w:r>
      <w:proofErr w:type="spellStart"/>
      <w:r>
        <w:t>конф</w:t>
      </w:r>
      <w:proofErr w:type="spellEnd"/>
      <w:r>
        <w:t>. – Краснодар, 2000 – С. 207-213.</w:t>
      </w:r>
    </w:p>
    <w:p w:rsidR="008B1D8D" w:rsidRPr="008B1D8D" w:rsidRDefault="008B1D8D" w:rsidP="00810A33">
      <w:pPr>
        <w:spacing w:line="240" w:lineRule="auto"/>
        <w:jc w:val="both"/>
      </w:pPr>
      <w:r>
        <w:t xml:space="preserve">3. </w:t>
      </w:r>
      <w:proofErr w:type="spellStart"/>
      <w:r>
        <w:t>Петрий</w:t>
      </w:r>
      <w:proofErr w:type="spellEnd"/>
      <w:r>
        <w:t xml:space="preserve">, А.И. Методика определения свойств табака как объекта сушка / А.И. </w:t>
      </w:r>
      <w:proofErr w:type="spellStart"/>
      <w:r>
        <w:t>Петрий</w:t>
      </w:r>
      <w:proofErr w:type="spellEnd"/>
      <w:r>
        <w:t>, Ю.И. Кулиш, И.И. Дьячкин, Л.П. Пестова и др./ ВН</w:t>
      </w:r>
      <w:r>
        <w:t>И</w:t>
      </w:r>
      <w:r>
        <w:t xml:space="preserve">ИТТИ, - Краснодар, 2003. – 17 с. – </w:t>
      </w:r>
      <w:proofErr w:type="spellStart"/>
      <w:r>
        <w:t>Деп</w:t>
      </w:r>
      <w:proofErr w:type="spellEnd"/>
      <w:r>
        <w:t xml:space="preserve">. в </w:t>
      </w:r>
      <w:proofErr w:type="spellStart"/>
      <w:r>
        <w:t>ВНИТЭИАгропром</w:t>
      </w:r>
      <w:proofErr w:type="spellEnd"/>
      <w:r>
        <w:t>, №40, ВС-2003.</w:t>
      </w:r>
    </w:p>
    <w:sectPr w:rsidR="008B1D8D" w:rsidRPr="008B1D8D" w:rsidSect="00FC790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01058"/>
    <w:multiLevelType w:val="hybridMultilevel"/>
    <w:tmpl w:val="5C769B3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autoHyphenation/>
  <w:characterSpacingControl w:val="doNotCompress"/>
  <w:compat/>
  <w:rsids>
    <w:rsidRoot w:val="00FC790D"/>
    <w:rsid w:val="00054A70"/>
    <w:rsid w:val="00066CA0"/>
    <w:rsid w:val="000C02FB"/>
    <w:rsid w:val="00174063"/>
    <w:rsid w:val="001D7C31"/>
    <w:rsid w:val="001E2B5D"/>
    <w:rsid w:val="001F17BD"/>
    <w:rsid w:val="0021653A"/>
    <w:rsid w:val="002B0996"/>
    <w:rsid w:val="003953A0"/>
    <w:rsid w:val="003B3C3F"/>
    <w:rsid w:val="004A23D1"/>
    <w:rsid w:val="00571A1B"/>
    <w:rsid w:val="006177A7"/>
    <w:rsid w:val="0069186D"/>
    <w:rsid w:val="006C6B80"/>
    <w:rsid w:val="006D0984"/>
    <w:rsid w:val="006F37DC"/>
    <w:rsid w:val="00745C62"/>
    <w:rsid w:val="007A388A"/>
    <w:rsid w:val="007A72F8"/>
    <w:rsid w:val="007B1127"/>
    <w:rsid w:val="007B476E"/>
    <w:rsid w:val="007C2828"/>
    <w:rsid w:val="007F41F9"/>
    <w:rsid w:val="00810A33"/>
    <w:rsid w:val="00824F00"/>
    <w:rsid w:val="008A3824"/>
    <w:rsid w:val="008B1D8D"/>
    <w:rsid w:val="008D0506"/>
    <w:rsid w:val="00955543"/>
    <w:rsid w:val="00962C78"/>
    <w:rsid w:val="00983F11"/>
    <w:rsid w:val="009922BD"/>
    <w:rsid w:val="00A61C58"/>
    <w:rsid w:val="00B12CFE"/>
    <w:rsid w:val="00B35421"/>
    <w:rsid w:val="00B74CAA"/>
    <w:rsid w:val="00BA1587"/>
    <w:rsid w:val="00C36D3C"/>
    <w:rsid w:val="00C7368F"/>
    <w:rsid w:val="00D140EB"/>
    <w:rsid w:val="00D75256"/>
    <w:rsid w:val="00EC24D1"/>
    <w:rsid w:val="00ED51E3"/>
    <w:rsid w:val="00F236D8"/>
    <w:rsid w:val="00FC790D"/>
    <w:rsid w:val="00FD6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/>
    </o:shapedefaults>
    <o:shapelayout v:ext="edit">
      <o:idmap v:ext="edit" data="1"/>
      <o:rules v:ext="edit">
        <o:r id="V:Rule1" type="arc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28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A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A33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953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953A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User\&#1056;&#1072;&#1073;&#1086;&#1095;&#1080;&#1081;%20&#1089;&#1090;&#1086;&#1083;\&#1043;&#1088;&#1072;&#1092;&#1080;&#1082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6541368565488948"/>
          <c:y val="7.4468181812279294E-2"/>
          <c:w val="0.67857205137971865"/>
          <c:h val="0.73936266227905567"/>
        </c:manualLayout>
      </c:layout>
      <c:scatterChart>
        <c:scatterStyle val="lineMarker"/>
        <c:ser>
          <c:idx val="1"/>
          <c:order val="0"/>
          <c:tx>
            <c:strRef>
              <c:f>Лист1!$H$9</c:f>
              <c:strCache>
                <c:ptCount val="1"/>
                <c:pt idx="0">
                  <c:v>Остролист 215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circle"/>
            <c:size val="6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dLbls>
            <c:delete val="1"/>
          </c:dLbls>
          <c:xVal>
            <c:numRef>
              <c:f>Лист1!$I$8:$I$9</c:f>
              <c:numCache>
                <c:formatCode>General</c:formatCode>
                <c:ptCount val="2"/>
                <c:pt idx="0">
                  <c:v>0</c:v>
                </c:pt>
                <c:pt idx="1">
                  <c:v>40</c:v>
                </c:pt>
              </c:numCache>
            </c:numRef>
          </c:xVal>
          <c:yVal>
            <c:numRef>
              <c:f>Лист1!$J$8:$J$9</c:f>
              <c:numCache>
                <c:formatCode>General</c:formatCode>
                <c:ptCount val="2"/>
                <c:pt idx="0">
                  <c:v>0</c:v>
                </c:pt>
                <c:pt idx="1">
                  <c:v>75</c:v>
                </c:pt>
              </c:numCache>
            </c:numRef>
          </c:yVal>
        </c:ser>
        <c:ser>
          <c:idx val="2"/>
          <c:order val="1"/>
          <c:tx>
            <c:strRef>
              <c:f>Лист1!$E$9</c:f>
              <c:strCache>
                <c:ptCount val="1"/>
                <c:pt idx="0">
                  <c:v>Трапезонд 92</c:v>
                </c:pt>
              </c:strCache>
            </c:strRef>
          </c:tx>
          <c:spPr>
            <a:ln w="12700">
              <a:solidFill>
                <a:srgbClr val="003300"/>
              </a:solidFill>
              <a:prstDash val="solid"/>
            </a:ln>
          </c:spPr>
          <c:marker>
            <c:symbol val="triangle"/>
            <c:size val="6"/>
            <c:spPr>
              <a:solidFill>
                <a:srgbClr val="003300"/>
              </a:solidFill>
              <a:ln>
                <a:solidFill>
                  <a:srgbClr val="003300"/>
                </a:solidFill>
                <a:prstDash val="solid"/>
              </a:ln>
            </c:spPr>
          </c:marker>
          <c:dLbls>
            <c:delete val="1"/>
          </c:dLbls>
          <c:xVal>
            <c:numRef>
              <c:f>Лист1!$F$8:$F$9</c:f>
              <c:numCache>
                <c:formatCode>General</c:formatCode>
                <c:ptCount val="2"/>
                <c:pt idx="0">
                  <c:v>0</c:v>
                </c:pt>
                <c:pt idx="1">
                  <c:v>36</c:v>
                </c:pt>
              </c:numCache>
            </c:numRef>
          </c:xVal>
          <c:yVal>
            <c:numRef>
              <c:f>Лист1!$G$8:$G$9</c:f>
              <c:numCache>
                <c:formatCode>General</c:formatCode>
                <c:ptCount val="2"/>
                <c:pt idx="0">
                  <c:v>0</c:v>
                </c:pt>
                <c:pt idx="1">
                  <c:v>90</c:v>
                </c:pt>
              </c:numCache>
            </c:numRef>
          </c:yVal>
        </c:ser>
        <c:ser>
          <c:idx val="3"/>
          <c:order val="2"/>
          <c:tx>
            <c:strRef>
              <c:f>Лист1!$B$9</c:f>
              <c:strCache>
                <c:ptCount val="1"/>
                <c:pt idx="0">
                  <c:v>Юбилейный</c:v>
                </c:pt>
              </c:strCache>
            </c:strRef>
          </c:tx>
          <c:spPr>
            <a:ln w="12700">
              <a:solidFill>
                <a:srgbClr val="FF0000"/>
              </a:solidFill>
              <a:prstDash val="solid"/>
            </a:ln>
          </c:spPr>
          <c:marker>
            <c:symbol val="square"/>
            <c:size val="6"/>
            <c:spPr>
              <a:solidFill>
                <a:srgbClr val="FF0000"/>
              </a:solidFill>
              <a:ln>
                <a:solidFill>
                  <a:srgbClr val="FF0000"/>
                </a:solidFill>
                <a:prstDash val="solid"/>
              </a:ln>
            </c:spPr>
          </c:marker>
          <c:dLbls>
            <c:delete val="1"/>
          </c:dLbls>
          <c:xVal>
            <c:numRef>
              <c:f>Лист1!$C$8:$C$9</c:f>
              <c:numCache>
                <c:formatCode>General</c:formatCode>
                <c:ptCount val="2"/>
                <c:pt idx="0">
                  <c:v>0</c:v>
                </c:pt>
                <c:pt idx="1">
                  <c:v>33</c:v>
                </c:pt>
              </c:numCache>
            </c:numRef>
          </c:xVal>
          <c:yVal>
            <c:numRef>
              <c:f>Лист1!$D$8:$D$9</c:f>
              <c:numCache>
                <c:formatCode>General</c:formatCode>
                <c:ptCount val="2"/>
                <c:pt idx="0">
                  <c:v>0</c:v>
                </c:pt>
                <c:pt idx="1">
                  <c:v>90</c:v>
                </c:pt>
              </c:numCache>
            </c:numRef>
          </c:yVal>
        </c:ser>
        <c:ser>
          <c:idx val="0"/>
          <c:order val="3"/>
          <c:tx>
            <c:strRef>
              <c:f>Лист1!$K$9</c:f>
              <c:strCache>
                <c:ptCount val="1"/>
                <c:pt idx="0">
                  <c:v>Трапезонд 219</c:v>
                </c:pt>
              </c:strCache>
            </c:strRef>
          </c:tx>
          <c:spPr>
            <a:ln w="12700"/>
          </c:spPr>
          <c:dLbls>
            <c:delete val="1"/>
          </c:dLbls>
          <c:xVal>
            <c:numRef>
              <c:f>Лист1!$L$8:$L$9</c:f>
              <c:numCache>
                <c:formatCode>General</c:formatCode>
                <c:ptCount val="2"/>
                <c:pt idx="0">
                  <c:v>0</c:v>
                </c:pt>
                <c:pt idx="1">
                  <c:v>42</c:v>
                </c:pt>
              </c:numCache>
            </c:numRef>
          </c:xVal>
          <c:yVal>
            <c:numRef>
              <c:f>Лист1!$M$8:$M$10</c:f>
              <c:numCache>
                <c:formatCode>General</c:formatCode>
                <c:ptCount val="3"/>
                <c:pt idx="0">
                  <c:v>0</c:v>
                </c:pt>
                <c:pt idx="1">
                  <c:v>70</c:v>
                </c:pt>
              </c:numCache>
            </c:numRef>
          </c:yVal>
        </c:ser>
        <c:dLbls>
          <c:showCatName val="1"/>
        </c:dLbls>
        <c:axId val="87748608"/>
        <c:axId val="87750528"/>
      </c:scatterChart>
      <c:valAx>
        <c:axId val="877486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Степень обезвоживания</a:t>
                </a:r>
              </a:p>
            </c:rich>
          </c:tx>
          <c:layout>
            <c:manualLayout>
              <c:xMode val="edge"/>
              <c:yMode val="edge"/>
              <c:x val="0.31950479081681177"/>
              <c:y val="0.8610020799286886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7750528"/>
        <c:crosses val="autoZero"/>
        <c:crossBetween val="midCat"/>
      </c:valAx>
      <c:valAx>
        <c:axId val="877505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Степень пожелтения, % .</a:t>
                </a:r>
              </a:p>
            </c:rich>
          </c:tx>
          <c:layout>
            <c:manualLayout>
              <c:xMode val="edge"/>
              <c:yMode val="edge"/>
              <c:x val="3.007521557361657E-2"/>
              <c:y val="0.16755340907762833"/>
            </c:manualLayout>
          </c:layout>
          <c:spPr>
            <a:noFill/>
            <a:ln w="25400">
              <a:noFill/>
            </a:ln>
          </c:spPr>
        </c:title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87748608"/>
        <c:crosses val="autoZero"/>
        <c:crossBetween val="midCat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0189215805855614"/>
          <c:y val="0.91489154657554783"/>
          <c:w val="0.81249271302227122"/>
          <c:h val="6.3621024644646723E-2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</c:legend>
    <c:plotVisOnly val="1"/>
    <c:dispBlanksAs val="gap"/>
  </c:chart>
  <c:spPr>
    <a:solidFill>
      <a:srgbClr val="FFFFFF"/>
    </a:solidFill>
    <a:ln w="3175">
      <a:noFill/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B8351-1041-409F-9425-B20225D1C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2013-04-09T13:21:00Z</cp:lastPrinted>
  <dcterms:created xsi:type="dcterms:W3CDTF">2013-04-19T11:06:00Z</dcterms:created>
  <dcterms:modified xsi:type="dcterms:W3CDTF">2013-04-26T04:17:00Z</dcterms:modified>
</cp:coreProperties>
</file>